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151E6E">
        <w:rPr>
          <w:rFonts w:ascii="Arial" w:hAnsi="Arial" w:cs="Arial" w:hint="eastAsia"/>
          <w:b/>
          <w:bCs/>
          <w:snapToGrid w:val="0"/>
          <w:sz w:val="24"/>
          <w:lang w:val="en-GB"/>
        </w:rPr>
        <w:t>2</w:t>
      </w:r>
      <w:r w:rsidR="00204684">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Pr>
          <w:rFonts w:ascii="Arial" w:hAnsi="Arial" w:cs="Arial"/>
          <w:b/>
          <w:bCs/>
          <w:snapToGrid w:val="0"/>
          <w:sz w:val="24"/>
          <w:lang w:val="en-GB"/>
        </w:rPr>
        <w:t xml:space="preserve">            </w:t>
      </w:r>
      <w:r w:rsidR="0033229C">
        <w:rPr>
          <w:rFonts w:ascii="Arial" w:hAnsi="Arial" w:cs="Arial"/>
          <w:b/>
          <w:bCs/>
          <w:snapToGrid w:val="0"/>
          <w:sz w:val="24"/>
          <w:lang w:val="en-GB"/>
        </w:rPr>
        <w:t xml:space="preserve">  </w:t>
      </w:r>
      <w:r w:rsidR="0033229C" w:rsidRPr="00CA4B2A">
        <w:rPr>
          <w:rFonts w:ascii="Arial" w:hAnsi="Arial" w:cs="Arial"/>
          <w:b/>
          <w:bCs/>
          <w:snapToGrid w:val="0"/>
          <w:sz w:val="24"/>
          <w:lang w:val="en-GB"/>
        </w:rPr>
        <w:t>R1-</w:t>
      </w:r>
      <w:r w:rsidR="00BE360D" w:rsidRPr="00BE360D">
        <w:rPr>
          <w:rFonts w:ascii="Arial" w:hAnsi="Arial" w:cs="Arial"/>
          <w:b/>
          <w:bCs/>
          <w:snapToGrid w:val="0"/>
          <w:sz w:val="24"/>
          <w:lang w:val="en-GB"/>
        </w:rPr>
        <w:t>2301530</w:t>
      </w:r>
      <w:bookmarkStart w:id="0" w:name="_GoBack"/>
      <w:bookmarkEnd w:id="0"/>
    </w:p>
    <w:p w:rsidR="00E02E9E" w:rsidRPr="00151E6E" w:rsidRDefault="00151E6E" w:rsidP="00E02E9E">
      <w:pPr>
        <w:pBdr>
          <w:bottom w:val="single" w:sz="12" w:space="1" w:color="auto"/>
        </w:pBdr>
        <w:adjustRightInd w:val="0"/>
        <w:snapToGrid w:val="0"/>
        <w:spacing w:line="360" w:lineRule="auto"/>
        <w:rPr>
          <w:rFonts w:ascii="Arial" w:eastAsia="MS Mincho" w:hAnsi="Arial" w:cs="Arial"/>
          <w:b/>
          <w:bCs/>
          <w:sz w:val="24"/>
          <w:lang w:eastAsia="ja-JP"/>
        </w:rPr>
      </w:pPr>
      <w:r w:rsidRPr="00151E6E">
        <w:rPr>
          <w:rFonts w:ascii="Arial" w:eastAsia="MS Mincho" w:hAnsi="Arial" w:cs="Arial"/>
          <w:b/>
          <w:bCs/>
          <w:sz w:val="24"/>
          <w:lang w:eastAsia="ja-JP"/>
        </w:rPr>
        <w:t>Athens</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Greece</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February</w:t>
      </w:r>
      <w:r w:rsidR="00204684"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27</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00204684" w:rsidRPr="00EB5ACF">
        <w:rPr>
          <w:rFonts w:ascii="Arial" w:eastAsia="MS Mincho" w:hAnsi="Arial" w:cs="Arial"/>
          <w:b/>
          <w:bCs/>
          <w:sz w:val="24"/>
          <w:lang w:eastAsia="ja-JP"/>
        </w:rPr>
        <w:t>–</w:t>
      </w:r>
      <w:r>
        <w:rPr>
          <w:rFonts w:ascii="Arial" w:eastAsia="MS Mincho" w:hAnsi="Arial" w:cs="Arial"/>
          <w:b/>
          <w:bCs/>
          <w:sz w:val="24"/>
          <w:lang w:eastAsia="ja-JP"/>
        </w:rPr>
        <w:t xml:space="preserve"> </w:t>
      </w:r>
      <w:r w:rsidRPr="00151E6E">
        <w:rPr>
          <w:rFonts w:ascii="Arial" w:eastAsia="MS Mincho" w:hAnsi="Arial" w:cs="Arial"/>
          <w:b/>
          <w:bCs/>
          <w:sz w:val="24"/>
          <w:lang w:eastAsia="ja-JP"/>
        </w:rPr>
        <w:t>March</w:t>
      </w:r>
      <w:r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3</w:t>
      </w:r>
      <w:r w:rsidRPr="00151E6E">
        <w:rPr>
          <w:rFonts w:ascii="Arial" w:eastAsia="MS Mincho" w:hAnsi="Arial" w:cs="Arial" w:hint="eastAsia"/>
          <w:b/>
          <w:bCs/>
          <w:sz w:val="24"/>
          <w:vertAlign w:val="superscript"/>
          <w:lang w:eastAsia="ja-JP"/>
        </w:rPr>
        <w:t>rd</w:t>
      </w:r>
      <w:r w:rsidR="00204684">
        <w:rPr>
          <w:rFonts w:ascii="Arial" w:eastAsia="MS Mincho" w:hAnsi="Arial" w:cs="Arial"/>
          <w:b/>
          <w:bCs/>
          <w:sz w:val="24"/>
          <w:lang w:eastAsia="ja-JP"/>
        </w:rPr>
        <w:t>,</w:t>
      </w:r>
      <w:r w:rsidR="00204684"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3F4164" w:rsidRPr="003F4164">
        <w:rPr>
          <w:rFonts w:ascii="Arial" w:eastAsia="맑은 고딕" w:hAnsi="Arial"/>
          <w:spacing w:val="-4"/>
          <w:kern w:val="0"/>
          <w:sz w:val="24"/>
          <w:szCs w:val="20"/>
        </w:rPr>
        <w:t>Discussion on LS on SL LBT failure indication and consistent SL LBT failure</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B415F8">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sidR="00B415F8" w:rsidRPr="00B415F8">
        <w:rPr>
          <w:rFonts w:ascii="Calibri" w:hAnsi="Calibri" w:cs="Calibri"/>
          <w:szCs w:val="22"/>
        </w:rPr>
        <w:t>related to the SL LBT failure indication</w:t>
      </w:r>
      <w:r w:rsidRPr="00143B85">
        <w:rPr>
          <w:rFonts w:ascii="Calibri" w:hAnsi="Calibri" w:cs="Calibri"/>
          <w:szCs w:val="22"/>
        </w:rPr>
        <w:t xml:space="preserve"> </w:t>
      </w:r>
      <w:r>
        <w:rPr>
          <w:rFonts w:ascii="Calibri" w:hAnsi="Calibri" w:cs="Calibri"/>
          <w:szCs w:val="22"/>
        </w:rPr>
        <w:t>in RAN</w:t>
      </w:r>
      <w:r w:rsidR="00B415F8">
        <w:rPr>
          <w:rFonts w:ascii="Calibri" w:hAnsi="Calibri" w:cs="Calibri"/>
          <w:szCs w:val="22"/>
        </w:rPr>
        <w:t>2</w:t>
      </w:r>
      <w:r>
        <w:rPr>
          <w:rFonts w:ascii="Calibri" w:hAnsi="Calibri" w:cs="Calibri"/>
          <w:szCs w:val="22"/>
        </w:rPr>
        <w:t xml:space="preserve"> LS [1]. </w:t>
      </w:r>
    </w:p>
    <w:p w:rsidR="007000D9" w:rsidRPr="00B415F8"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E87DDE" w:rsidRDefault="009A293E" w:rsidP="007000D9">
      <w:pPr>
        <w:pStyle w:val="LGTdoc0"/>
        <w:spacing w:afterLines="0" w:after="0" w:line="240" w:lineRule="auto"/>
        <w:ind w:firstLine="425"/>
        <w:rPr>
          <w:rFonts w:ascii="Calibri" w:hAnsi="Calibri" w:cs="Calibri"/>
          <w:szCs w:val="22"/>
          <w:lang w:val="en-US"/>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7000D9" w:rsidRPr="00143B85">
        <w:rPr>
          <w:rFonts w:ascii="Calibri" w:hAnsi="Calibri" w:cs="Calibri"/>
          <w:szCs w:val="22"/>
        </w:rPr>
        <w:t>question</w:t>
      </w:r>
      <w:r>
        <w:rPr>
          <w:rFonts w:ascii="Calibri" w:hAnsi="Calibri" w:cs="Calibri"/>
          <w:szCs w:val="22"/>
        </w:rPr>
        <w:t xml:space="preserve"> </w:t>
      </w:r>
      <w:r>
        <w:rPr>
          <w:rFonts w:ascii="Calibri" w:hAnsi="Calibri" w:cs="Calibri" w:hint="eastAsia"/>
          <w:szCs w:val="22"/>
        </w:rPr>
        <w:t>below</w:t>
      </w:r>
      <w:r w:rsidR="007000D9" w:rsidRPr="00143B85">
        <w:rPr>
          <w:rFonts w:ascii="Calibri" w:hAnsi="Calibri" w:cs="Calibri"/>
          <w:szCs w:val="22"/>
        </w:rPr>
        <w:t xml:space="preserve"> </w:t>
      </w:r>
      <w:r w:rsidR="007000D9" w:rsidRPr="00143B85">
        <w:rPr>
          <w:rFonts w:ascii="Calibri" w:hAnsi="Calibri" w:cs="Calibri" w:hint="eastAsia"/>
          <w:szCs w:val="22"/>
        </w:rPr>
        <w:t>on</w:t>
      </w:r>
      <w:r w:rsidR="007000D9" w:rsidRPr="00143B85">
        <w:rPr>
          <w:rFonts w:ascii="Calibri" w:hAnsi="Calibri" w:cs="Calibri"/>
          <w:szCs w:val="22"/>
        </w:rPr>
        <w:t xml:space="preserve"> </w:t>
      </w:r>
      <w:r w:rsidR="007000D9" w:rsidRPr="00143B85">
        <w:rPr>
          <w:rFonts w:ascii="Calibri" w:hAnsi="Calibri" w:cs="Calibri" w:hint="eastAsia"/>
          <w:szCs w:val="22"/>
        </w:rPr>
        <w:t>LS</w:t>
      </w:r>
      <w:r w:rsidR="007000D9" w:rsidRPr="00143B85">
        <w:rPr>
          <w:rFonts w:ascii="Calibri" w:hAnsi="Calibri" w:cs="Calibri"/>
          <w:szCs w:val="22"/>
        </w:rPr>
        <w:t xml:space="preserve"> </w:t>
      </w:r>
      <w:r w:rsidR="007000D9" w:rsidRPr="00143B85">
        <w:rPr>
          <w:rFonts w:ascii="Calibri" w:hAnsi="Calibri" w:cs="Calibri" w:hint="eastAsia"/>
          <w:szCs w:val="22"/>
        </w:rPr>
        <w:t>[1]</w:t>
      </w:r>
      <w:r w:rsidR="00BC6987">
        <w:rPr>
          <w:rFonts w:ascii="Calibri" w:hAnsi="Calibri" w:cs="Calibri" w:hint="eastAsia"/>
          <w:szCs w:val="22"/>
        </w:rPr>
        <w:t>,</w:t>
      </w:r>
      <w:r w:rsidR="00BC6987">
        <w:rPr>
          <w:rFonts w:ascii="Calibri" w:hAnsi="Calibri" w:cs="Calibri"/>
          <w:szCs w:val="22"/>
        </w:rPr>
        <w:t xml:space="preserve"> </w:t>
      </w:r>
      <w:r w:rsidR="00E87DDE">
        <w:rPr>
          <w:rFonts w:ascii="Calibri" w:hAnsi="Calibri" w:cs="Calibri"/>
          <w:szCs w:val="22"/>
        </w:rPr>
        <w:t xml:space="preserve">considering that the working assumption made at the last RAN2 meeting </w:t>
      </w:r>
      <w:r w:rsidR="00DC1C1F">
        <w:rPr>
          <w:rFonts w:ascii="Calibri" w:hAnsi="Calibri" w:cs="Calibri"/>
          <w:szCs w:val="22"/>
        </w:rPr>
        <w:t xml:space="preserve">(i.e., </w:t>
      </w:r>
      <w:r w:rsidR="00DC1C1F" w:rsidRPr="00E87DDE">
        <w:rPr>
          <w:rFonts w:ascii="Calibri" w:hAnsi="Calibri" w:cs="Calibri"/>
          <w:szCs w:val="22"/>
        </w:rPr>
        <w:t xml:space="preserve">SL-specific consistent LBT failure detection is not relevant to </w:t>
      </w:r>
      <w:r w:rsidR="00321DE9">
        <w:rPr>
          <w:rFonts w:ascii="Calibri" w:hAnsi="Calibri" w:cs="Calibri"/>
          <w:szCs w:val="22"/>
        </w:rPr>
        <w:t>c</w:t>
      </w:r>
      <w:r w:rsidR="00DC1C1F" w:rsidRPr="00E87DDE">
        <w:rPr>
          <w:rFonts w:ascii="Calibri" w:hAnsi="Calibri" w:cs="Calibri"/>
          <w:szCs w:val="22"/>
        </w:rPr>
        <w:t>ast type/DST/</w:t>
      </w:r>
      <w:r w:rsidR="00321DE9">
        <w:rPr>
          <w:rFonts w:ascii="Calibri" w:hAnsi="Calibri" w:cs="Calibri"/>
          <w:szCs w:val="22"/>
        </w:rPr>
        <w:t>u</w:t>
      </w:r>
      <w:r w:rsidR="00DC1C1F" w:rsidRPr="00E87DDE">
        <w:rPr>
          <w:rFonts w:ascii="Calibri" w:hAnsi="Calibri" w:cs="Calibri"/>
          <w:szCs w:val="22"/>
        </w:rPr>
        <w:t>nicast link</w:t>
      </w:r>
      <w:r w:rsidR="00DC1C1F">
        <w:rPr>
          <w:rFonts w:ascii="Calibri" w:hAnsi="Calibri" w:cs="Calibri"/>
          <w:szCs w:val="22"/>
        </w:rPr>
        <w:t xml:space="preserve">) </w:t>
      </w:r>
      <w:r w:rsidR="00E87DDE">
        <w:rPr>
          <w:rFonts w:ascii="Calibri" w:hAnsi="Calibri" w:cs="Calibri"/>
          <w:szCs w:val="22"/>
        </w:rPr>
        <w:t xml:space="preserve">and </w:t>
      </w:r>
      <w:r w:rsidR="00DC1C1F">
        <w:rPr>
          <w:rFonts w:ascii="Calibri" w:hAnsi="Calibri" w:cs="Calibri"/>
          <w:szCs w:val="22"/>
        </w:rPr>
        <w:t xml:space="preserve">the occurrence of </w:t>
      </w:r>
      <w:r w:rsidR="00E87F71">
        <w:rPr>
          <w:rFonts w:ascii="Calibri" w:hAnsi="Calibri" w:cs="Calibri"/>
          <w:szCs w:val="22"/>
        </w:rPr>
        <w:t xml:space="preserve">SL </w:t>
      </w:r>
      <w:r w:rsidR="00DC1C1F">
        <w:rPr>
          <w:rFonts w:ascii="Calibri" w:hAnsi="Calibri" w:cs="Calibri"/>
          <w:szCs w:val="22"/>
        </w:rPr>
        <w:t xml:space="preserve">LBT failure </w:t>
      </w:r>
      <w:r w:rsidR="00E87DDE">
        <w:rPr>
          <w:rFonts w:ascii="Calibri" w:hAnsi="Calibri" w:cs="Calibri"/>
          <w:szCs w:val="22"/>
        </w:rPr>
        <w:t xml:space="preserve">could be different </w:t>
      </w:r>
      <w:r w:rsidR="00E42543">
        <w:rPr>
          <w:rFonts w:ascii="Calibri" w:hAnsi="Calibri" w:cs="Calibri"/>
          <w:szCs w:val="22"/>
        </w:rPr>
        <w:t xml:space="preserve">even </w:t>
      </w:r>
      <w:r w:rsidR="00DC1C1F">
        <w:rPr>
          <w:rFonts w:ascii="Calibri" w:hAnsi="Calibri" w:cs="Calibri"/>
          <w:szCs w:val="22"/>
        </w:rPr>
        <w:t xml:space="preserve">between </w:t>
      </w:r>
      <w:r w:rsidR="00321DE9">
        <w:rPr>
          <w:rFonts w:ascii="Calibri" w:hAnsi="Calibri" w:cs="Calibri"/>
          <w:szCs w:val="22"/>
        </w:rPr>
        <w:t>RB sets</w:t>
      </w:r>
      <w:r w:rsidR="00E42543">
        <w:rPr>
          <w:rFonts w:ascii="Calibri" w:hAnsi="Calibri" w:cs="Calibri"/>
          <w:szCs w:val="22"/>
        </w:rPr>
        <w:t xml:space="preserve"> belonging to the same </w:t>
      </w:r>
      <w:r w:rsidR="00E87F71">
        <w:rPr>
          <w:rFonts w:ascii="Calibri" w:hAnsi="Calibri" w:cs="Calibri"/>
          <w:szCs w:val="22"/>
        </w:rPr>
        <w:t xml:space="preserve">SL resource </w:t>
      </w:r>
      <w:r w:rsidR="00E42543">
        <w:rPr>
          <w:rFonts w:ascii="Calibri" w:hAnsi="Calibri" w:cs="Calibri"/>
          <w:szCs w:val="22"/>
        </w:rPr>
        <w:t>pool</w:t>
      </w:r>
      <w:r w:rsidR="00321DE9">
        <w:rPr>
          <w:rFonts w:ascii="Calibri" w:hAnsi="Calibri" w:cs="Calibri"/>
          <w:szCs w:val="22"/>
        </w:rPr>
        <w:t xml:space="preserve">, we think that it would be desirable to define the granularity of </w:t>
      </w:r>
      <w:r w:rsidR="00321DE9" w:rsidRPr="00876001">
        <w:rPr>
          <w:rFonts w:ascii="Calibri" w:hAnsi="Calibri" w:cs="Calibri"/>
          <w:szCs w:val="22"/>
          <w:lang w:val="en-US"/>
        </w:rPr>
        <w:t>SL LBT failure</w:t>
      </w:r>
      <w:r w:rsidR="00321DE9">
        <w:rPr>
          <w:rFonts w:ascii="Calibri" w:hAnsi="Calibri" w:cs="Calibri"/>
          <w:szCs w:val="22"/>
          <w:lang w:val="en-US"/>
        </w:rPr>
        <w:t xml:space="preserve"> indication </w:t>
      </w:r>
      <w:r w:rsidR="0025139B">
        <w:rPr>
          <w:rFonts w:ascii="Calibri" w:hAnsi="Calibri" w:cs="Calibri"/>
          <w:szCs w:val="22"/>
          <w:lang w:val="en-US"/>
        </w:rPr>
        <w:t>in a unit of RB set</w:t>
      </w:r>
      <w:r w:rsidR="00E42543">
        <w:rPr>
          <w:rFonts w:ascii="Calibri" w:hAnsi="Calibri" w:cs="Calibri"/>
          <w:szCs w:val="22"/>
          <w:lang w:val="en-US"/>
        </w:rPr>
        <w:t>. In addition,</w:t>
      </w:r>
      <w:r w:rsidR="00E87F71">
        <w:rPr>
          <w:rFonts w:ascii="Calibri" w:hAnsi="Calibri" w:cs="Calibri"/>
          <w:szCs w:val="22"/>
          <w:lang w:val="en-US"/>
        </w:rPr>
        <w:t xml:space="preserve"> since </w:t>
      </w:r>
      <w:r w:rsidR="00DD084E">
        <w:rPr>
          <w:rFonts w:ascii="Calibri" w:hAnsi="Calibri" w:cs="Calibri"/>
          <w:szCs w:val="22"/>
          <w:lang w:val="en-US"/>
        </w:rPr>
        <w:t xml:space="preserve">there are S-SSB slot(s) in which S-SSB transmission(s) are performed outside the SL resource pool, </w:t>
      </w:r>
      <w:r w:rsidR="00E87F71">
        <w:rPr>
          <w:rFonts w:ascii="Calibri" w:hAnsi="Calibri" w:cs="Calibri"/>
          <w:szCs w:val="22"/>
          <w:lang w:val="en-US"/>
        </w:rPr>
        <w:t xml:space="preserve">the notification/counting </w:t>
      </w:r>
      <w:r w:rsidR="002B00DE">
        <w:rPr>
          <w:rFonts w:ascii="Calibri" w:hAnsi="Calibri" w:cs="Calibri"/>
          <w:szCs w:val="22"/>
          <w:lang w:val="en-US"/>
        </w:rPr>
        <w:t xml:space="preserve">of SL LBT failure indication </w:t>
      </w:r>
      <w:r w:rsidR="00E87F71">
        <w:rPr>
          <w:rFonts w:ascii="Calibri" w:hAnsi="Calibri" w:cs="Calibri"/>
          <w:szCs w:val="22"/>
          <w:lang w:val="en-US"/>
        </w:rPr>
        <w:t xml:space="preserve">based on the </w:t>
      </w:r>
      <w:r w:rsidR="00E87F71">
        <w:rPr>
          <w:rFonts w:ascii="Calibri" w:hAnsi="Calibri" w:cs="Calibri"/>
          <w:szCs w:val="22"/>
        </w:rPr>
        <w:t xml:space="preserve">granularity of the </w:t>
      </w:r>
      <w:r w:rsidR="002B00DE">
        <w:rPr>
          <w:rFonts w:ascii="Calibri" w:hAnsi="Calibri" w:cs="Calibri"/>
          <w:szCs w:val="22"/>
        </w:rPr>
        <w:t xml:space="preserve">SL resource pool does not cover the </w:t>
      </w:r>
      <w:r w:rsidR="001A6D9E">
        <w:rPr>
          <w:rFonts w:ascii="Calibri" w:hAnsi="Calibri" w:cs="Calibri" w:hint="eastAsia"/>
          <w:szCs w:val="22"/>
        </w:rPr>
        <w:t>SL</w:t>
      </w:r>
      <w:r w:rsidR="001A6D9E">
        <w:rPr>
          <w:rFonts w:ascii="Calibri" w:hAnsi="Calibri" w:cs="Calibri"/>
          <w:szCs w:val="22"/>
        </w:rPr>
        <w:t xml:space="preserve"> </w:t>
      </w:r>
      <w:r w:rsidR="002B00DE">
        <w:rPr>
          <w:rFonts w:ascii="Calibri" w:hAnsi="Calibri" w:cs="Calibri"/>
          <w:szCs w:val="22"/>
        </w:rPr>
        <w:t xml:space="preserve">LBT failure of </w:t>
      </w:r>
      <w:r w:rsidR="00DD084E">
        <w:rPr>
          <w:rFonts w:ascii="Calibri" w:hAnsi="Calibri" w:cs="Calibri"/>
          <w:szCs w:val="22"/>
        </w:rPr>
        <w:t xml:space="preserve">these </w:t>
      </w:r>
      <w:r w:rsidR="002B00DE">
        <w:rPr>
          <w:rFonts w:ascii="Calibri" w:hAnsi="Calibri" w:cs="Calibri"/>
          <w:szCs w:val="22"/>
        </w:rPr>
        <w:t>S-SSB transmission</w:t>
      </w:r>
      <w:r w:rsidR="00DD084E">
        <w:rPr>
          <w:rFonts w:ascii="Calibri" w:hAnsi="Calibri" w:cs="Calibri"/>
          <w:szCs w:val="22"/>
        </w:rPr>
        <w:t>(s)</w:t>
      </w:r>
      <w:r w:rsidR="002B00DE">
        <w:rPr>
          <w:rFonts w:ascii="Calibri" w:hAnsi="Calibri" w:cs="Calibri"/>
          <w:szCs w:val="22"/>
        </w:rPr>
        <w:t xml:space="preserve">. </w:t>
      </w:r>
      <w:r w:rsidR="00A37197">
        <w:rPr>
          <w:rFonts w:ascii="Calibri" w:hAnsi="Calibri" w:cs="Calibri"/>
          <w:szCs w:val="22"/>
        </w:rPr>
        <w:t xml:space="preserve">In order to resolve this issue, the method in which the granularity of </w:t>
      </w:r>
      <w:r w:rsidR="00A37197">
        <w:rPr>
          <w:rFonts w:ascii="Calibri" w:hAnsi="Calibri" w:cs="Calibri"/>
          <w:szCs w:val="22"/>
          <w:lang w:val="en-US"/>
        </w:rPr>
        <w:t>SL LBT failure indication is defined differently between PSCCH/PSSCH/PSFCH and S-SSB could be proposed</w:t>
      </w:r>
      <w:r w:rsidR="00AC61EA">
        <w:rPr>
          <w:rFonts w:ascii="Calibri" w:hAnsi="Calibri" w:cs="Calibri"/>
          <w:szCs w:val="22"/>
          <w:lang w:val="en-US"/>
        </w:rPr>
        <w:t xml:space="preserve"> (e.g., SL resource pool </w:t>
      </w:r>
      <w:r w:rsidR="00AC61EA">
        <w:rPr>
          <w:rFonts w:ascii="Calibri" w:hAnsi="Calibri" w:cs="Calibri"/>
          <w:szCs w:val="22"/>
        </w:rPr>
        <w:t xml:space="preserve">granularity </w:t>
      </w:r>
      <w:r w:rsidR="00AC61EA">
        <w:rPr>
          <w:rFonts w:ascii="Calibri" w:hAnsi="Calibri" w:cs="Calibri"/>
          <w:szCs w:val="22"/>
          <w:lang w:val="en-US"/>
        </w:rPr>
        <w:t xml:space="preserve">for PSCCH/PSSCH/PSFCH, RB set </w:t>
      </w:r>
      <w:r w:rsidR="00AC61EA">
        <w:rPr>
          <w:rFonts w:ascii="Calibri" w:hAnsi="Calibri" w:cs="Calibri"/>
          <w:szCs w:val="22"/>
        </w:rPr>
        <w:t xml:space="preserve">granularity </w:t>
      </w:r>
      <w:r w:rsidR="00AC61EA">
        <w:rPr>
          <w:rFonts w:ascii="Calibri" w:hAnsi="Calibri" w:cs="Calibri"/>
          <w:szCs w:val="22"/>
          <w:lang w:val="en-US"/>
        </w:rPr>
        <w:t>for S-SSB)</w:t>
      </w:r>
      <w:r w:rsidR="00A37197">
        <w:rPr>
          <w:rFonts w:ascii="Calibri" w:hAnsi="Calibri" w:cs="Calibri"/>
          <w:szCs w:val="22"/>
          <w:lang w:val="en-US"/>
        </w:rPr>
        <w:t xml:space="preserve">, but this </w:t>
      </w:r>
      <w:r w:rsidR="00A37197">
        <w:rPr>
          <w:rFonts w:ascii="Calibri" w:hAnsi="Calibri" w:cs="Calibri" w:hint="eastAsia"/>
          <w:szCs w:val="22"/>
          <w:lang w:val="en-US"/>
        </w:rPr>
        <w:t>sho</w:t>
      </w:r>
      <w:r w:rsidR="00A37197">
        <w:rPr>
          <w:rFonts w:ascii="Calibri" w:hAnsi="Calibri" w:cs="Calibri"/>
          <w:szCs w:val="22"/>
          <w:lang w:val="en-US"/>
        </w:rPr>
        <w:t>uld be avoided in terms of increasing the complexity of UE implementation.</w:t>
      </w:r>
    </w:p>
    <w:p w:rsidR="00B303A2" w:rsidRDefault="00B303A2" w:rsidP="007000D9">
      <w:pPr>
        <w:pStyle w:val="LGTdoc0"/>
        <w:spacing w:afterLines="0" w:after="0" w:line="240" w:lineRule="auto"/>
        <w:ind w:firstLine="425"/>
        <w:rPr>
          <w:rFonts w:ascii="Calibri" w:hAnsi="Calibri" w:cs="Calibri"/>
          <w:szCs w:val="22"/>
        </w:rPr>
      </w:pPr>
    </w:p>
    <w:p w:rsidR="00876001" w:rsidRPr="00876001" w:rsidRDefault="00876001" w:rsidP="00876001">
      <w:pPr>
        <w:pStyle w:val="LGTdoc0"/>
        <w:numPr>
          <w:ilvl w:val="0"/>
          <w:numId w:val="34"/>
        </w:numPr>
        <w:spacing w:afterLines="0" w:after="0" w:line="240" w:lineRule="auto"/>
        <w:ind w:left="851" w:hanging="425"/>
        <w:rPr>
          <w:rFonts w:ascii="Calibri" w:hAnsi="Calibri" w:cs="Calibri"/>
          <w:szCs w:val="22"/>
          <w:lang w:val="en-US"/>
        </w:rPr>
      </w:pPr>
      <w:r w:rsidRPr="00976A0B">
        <w:rPr>
          <w:rFonts w:ascii="Calibri" w:hAnsi="Calibri" w:cs="Calibri"/>
          <w:szCs w:val="22"/>
          <w:lang w:val="en-US"/>
        </w:rPr>
        <w:t>Question</w:t>
      </w:r>
      <w:r w:rsidRPr="00B17CA1">
        <w:rPr>
          <w:rFonts w:ascii="Calibri" w:hAnsi="Calibri" w:cs="Calibri"/>
          <w:szCs w:val="22"/>
          <w:lang w:val="en-US"/>
        </w:rPr>
        <w:t>:</w:t>
      </w:r>
      <w:r w:rsidRPr="00876001">
        <w:rPr>
          <w:rFonts w:ascii="Calibri" w:hAnsi="Calibri" w:cs="Calibri"/>
          <w:szCs w:val="22"/>
          <w:lang w:val="en-US"/>
        </w:rPr>
        <w:t xml:space="preserve">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  </w:t>
      </w:r>
    </w:p>
    <w:p w:rsidR="00374784" w:rsidRDefault="00374784" w:rsidP="00374784">
      <w:pPr>
        <w:pStyle w:val="LGTdoc0"/>
        <w:spacing w:afterLines="0" w:after="0" w:line="240" w:lineRule="auto"/>
        <w:rPr>
          <w:rFonts w:ascii="Calibri" w:hAnsi="Calibri" w:cs="Calibri"/>
          <w:szCs w:val="22"/>
          <w:lang w:val="en-US"/>
        </w:rPr>
      </w:pPr>
    </w:p>
    <w:p w:rsidR="00210F99" w:rsidRDefault="00210F99" w:rsidP="006E6208">
      <w:pPr>
        <w:pStyle w:val="LGTdoc0"/>
        <w:spacing w:afterLines="0" w:after="0" w:line="240" w:lineRule="auto"/>
        <w:rPr>
          <w:rFonts w:ascii="Calibri" w:hAnsi="Calibri" w:cs="Calibri"/>
          <w:szCs w:val="22"/>
          <w:lang w:val="en-US"/>
        </w:rPr>
      </w:pPr>
      <w:r w:rsidRPr="00210F99">
        <w:rPr>
          <w:rFonts w:ascii="Calibri" w:hAnsi="Calibri" w:cs="Calibri" w:hint="eastAsia"/>
          <w:b/>
          <w:i/>
          <w:szCs w:val="22"/>
        </w:rPr>
        <w:t>Observation:</w:t>
      </w:r>
      <w:r>
        <w:rPr>
          <w:rFonts w:ascii="Calibri" w:hAnsi="Calibri" w:cs="Calibri"/>
          <w:b/>
          <w:i/>
          <w:szCs w:val="22"/>
        </w:rPr>
        <w:t xml:space="preserve"> </w:t>
      </w:r>
      <w:r w:rsidR="00BE3660">
        <w:rPr>
          <w:rFonts w:ascii="Calibri" w:hAnsi="Calibri" w:cs="Calibri"/>
          <w:b/>
          <w:i/>
          <w:szCs w:val="22"/>
        </w:rPr>
        <w:t xml:space="preserve">Considering that </w:t>
      </w:r>
      <w:r w:rsidR="00BE3660" w:rsidRPr="00BE3660">
        <w:rPr>
          <w:rFonts w:ascii="Calibri" w:hAnsi="Calibri" w:cs="Calibri"/>
          <w:b/>
          <w:i/>
          <w:szCs w:val="22"/>
        </w:rPr>
        <w:t>the occurrence of SL LBT failure could be different even between RB sets belonging to the same SL resource pool</w:t>
      </w:r>
      <w:r w:rsidR="00BE3660">
        <w:rPr>
          <w:rFonts w:ascii="Calibri" w:hAnsi="Calibri" w:cs="Calibri"/>
          <w:b/>
          <w:i/>
          <w:szCs w:val="22"/>
        </w:rPr>
        <w:t xml:space="preserve"> and </w:t>
      </w:r>
      <w:r w:rsidR="006E6208" w:rsidRPr="006E6208">
        <w:rPr>
          <w:rFonts w:ascii="Calibri" w:hAnsi="Calibri" w:cs="Calibri"/>
          <w:b/>
          <w:i/>
          <w:szCs w:val="22"/>
        </w:rPr>
        <w:t>there are S-SSB slot(s) in which S-SSB transmission(s) are performed outside the SL resource pool</w:t>
      </w:r>
      <w:r w:rsidR="006E6208">
        <w:rPr>
          <w:rFonts w:ascii="Calibri" w:hAnsi="Calibri" w:cs="Calibri"/>
          <w:b/>
          <w:i/>
          <w:szCs w:val="22"/>
        </w:rPr>
        <w:t xml:space="preserve">, </w:t>
      </w:r>
      <w:r w:rsidR="00BE3660">
        <w:rPr>
          <w:rFonts w:ascii="Calibri" w:hAnsi="Calibri" w:cs="Calibri"/>
          <w:b/>
          <w:i/>
          <w:szCs w:val="22"/>
        </w:rPr>
        <w:t xml:space="preserve">it is not preferred that </w:t>
      </w:r>
      <w:r w:rsidR="00BE3660" w:rsidRPr="00BE3660">
        <w:rPr>
          <w:rFonts w:ascii="Calibri" w:hAnsi="Calibri" w:cs="Calibri"/>
          <w:b/>
          <w:i/>
          <w:szCs w:val="22"/>
        </w:rPr>
        <w:t>the granularity of SL LBT failure indication</w:t>
      </w:r>
      <w:r w:rsidR="00BE3660">
        <w:rPr>
          <w:rFonts w:ascii="Calibri" w:hAnsi="Calibri" w:cs="Calibri"/>
          <w:b/>
          <w:i/>
          <w:szCs w:val="22"/>
        </w:rPr>
        <w:t xml:space="preserve"> is defined </w:t>
      </w:r>
      <w:r w:rsidR="00BE3660" w:rsidRPr="00BE3660">
        <w:rPr>
          <w:rFonts w:ascii="Calibri" w:hAnsi="Calibri" w:cs="Calibri"/>
          <w:b/>
          <w:i/>
          <w:szCs w:val="22"/>
        </w:rPr>
        <w:t xml:space="preserve">in a unit of </w:t>
      </w:r>
      <w:r w:rsidR="00BE3660">
        <w:rPr>
          <w:rFonts w:ascii="Calibri" w:hAnsi="Calibri" w:cs="Calibri"/>
          <w:b/>
          <w:i/>
          <w:szCs w:val="22"/>
        </w:rPr>
        <w:t xml:space="preserve">SL resource pool. </w:t>
      </w:r>
    </w:p>
    <w:p w:rsidR="00210F99" w:rsidRDefault="00210F99" w:rsidP="00374784">
      <w:pPr>
        <w:pStyle w:val="LGTdoc0"/>
        <w:spacing w:afterLines="0" w:after="0" w:line="240" w:lineRule="auto"/>
        <w:rPr>
          <w:rFonts w:ascii="Calibri" w:hAnsi="Calibri" w:cs="Calibri"/>
          <w:szCs w:val="22"/>
          <w:lang w:val="en-US"/>
        </w:rPr>
      </w:pPr>
    </w:p>
    <w:p w:rsidR="002E07D6" w:rsidRDefault="002E07D6" w:rsidP="002E07D6">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2E07D6" w:rsidRPr="00491113" w:rsidRDefault="00D62D78" w:rsidP="00BB7F6D">
      <w:pPr>
        <w:pStyle w:val="LGTdoc0"/>
        <w:numPr>
          <w:ilvl w:val="0"/>
          <w:numId w:val="38"/>
        </w:numPr>
        <w:spacing w:afterLines="0" w:after="0" w:line="240" w:lineRule="auto"/>
        <w:rPr>
          <w:rFonts w:ascii="Calibri" w:hAnsi="Calibri" w:cs="Calibri"/>
          <w:szCs w:val="22"/>
        </w:rPr>
      </w:pPr>
      <w:r w:rsidRPr="00491113">
        <w:rPr>
          <w:rFonts w:ascii="Calibri" w:hAnsi="Calibri" w:cs="Calibri" w:hint="eastAsia"/>
          <w:b/>
          <w:i/>
          <w:szCs w:val="22"/>
        </w:rPr>
        <w:t xml:space="preserve">The </w:t>
      </w:r>
      <w:r w:rsidRPr="00491113">
        <w:rPr>
          <w:rFonts w:ascii="Calibri" w:hAnsi="Calibri" w:cs="Calibri"/>
          <w:b/>
          <w:i/>
          <w:szCs w:val="22"/>
        </w:rPr>
        <w:t xml:space="preserve">granularity of </w:t>
      </w:r>
      <w:r w:rsidRPr="00491113">
        <w:rPr>
          <w:rFonts w:ascii="Calibri" w:hAnsi="Calibri" w:cs="Calibri" w:hint="eastAsia"/>
          <w:b/>
          <w:i/>
          <w:szCs w:val="22"/>
        </w:rPr>
        <w:t xml:space="preserve">SL </w:t>
      </w:r>
      <w:r w:rsidRPr="00491113">
        <w:rPr>
          <w:rFonts w:ascii="Calibri" w:hAnsi="Calibri" w:cs="Calibri"/>
          <w:b/>
          <w:i/>
          <w:szCs w:val="22"/>
        </w:rPr>
        <w:t>LBT failure indication notified from PHY to MAC is per RB set</w:t>
      </w:r>
    </w:p>
    <w:p w:rsidR="00D634AE" w:rsidRPr="00D634AE" w:rsidRDefault="00D634AE" w:rsidP="00374784">
      <w:pPr>
        <w:pStyle w:val="LGTdoc0"/>
        <w:spacing w:afterLines="0" w:after="0" w:line="240" w:lineRule="auto"/>
        <w:rPr>
          <w:rFonts w:ascii="Calibri" w:hAnsi="Calibri" w:cs="Calibri"/>
          <w:szCs w:val="22"/>
          <w:lang w:val="en-US"/>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D31765">
        <w:rPr>
          <w:rFonts w:ascii="Calibri" w:hAnsi="Calibri" w:cs="Calibri"/>
          <w:szCs w:val="22"/>
        </w:rPr>
        <w:t>2</w:t>
      </w:r>
      <w:r>
        <w:rPr>
          <w:rFonts w:ascii="Calibri" w:hAnsi="Calibri" w:cs="Calibri"/>
          <w:szCs w:val="22"/>
        </w:rPr>
        <w:t>’s question in LS [1].</w:t>
      </w:r>
      <w:r w:rsidRPr="0038253B">
        <w:rPr>
          <w:rFonts w:ascii="Calibri" w:hAnsi="Calibri" w:cs="Calibri"/>
          <w:szCs w:val="22"/>
        </w:rPr>
        <w:t xml:space="preserve"> The following </w:t>
      </w:r>
      <w:r w:rsidR="009A7051">
        <w:rPr>
          <w:rFonts w:ascii="Calibri" w:hAnsi="Calibri" w:cs="Calibri"/>
          <w:szCs w:val="22"/>
        </w:rPr>
        <w:t xml:space="preserve">observation and </w:t>
      </w:r>
      <w:r w:rsidRPr="0038253B">
        <w:rPr>
          <w:rFonts w:ascii="Calibri" w:hAnsi="Calibri" w:cs="Calibri"/>
          <w:szCs w:val="22"/>
        </w:rPr>
        <w:t xml:space="preserve">proposal </w:t>
      </w:r>
      <w:r w:rsidR="00D31765">
        <w:rPr>
          <w:rFonts w:ascii="Calibri" w:hAnsi="Calibri" w:cs="Calibri"/>
          <w:szCs w:val="22"/>
        </w:rPr>
        <w:t>are</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A20AE5" w:rsidRDefault="00A20AE5" w:rsidP="00A20AE5">
      <w:pPr>
        <w:pStyle w:val="LGTdoc0"/>
        <w:spacing w:afterLines="0" w:after="0" w:line="240" w:lineRule="auto"/>
        <w:rPr>
          <w:rFonts w:ascii="Calibri" w:hAnsi="Calibri" w:cs="Calibri"/>
          <w:szCs w:val="22"/>
          <w:lang w:val="en-US"/>
        </w:rPr>
      </w:pPr>
      <w:r w:rsidRPr="00210F99">
        <w:rPr>
          <w:rFonts w:ascii="Calibri" w:hAnsi="Calibri" w:cs="Calibri" w:hint="eastAsia"/>
          <w:b/>
          <w:i/>
          <w:szCs w:val="22"/>
        </w:rPr>
        <w:t>Observation:</w:t>
      </w:r>
      <w:r>
        <w:rPr>
          <w:rFonts w:ascii="Calibri" w:hAnsi="Calibri" w:cs="Calibri"/>
          <w:b/>
          <w:i/>
          <w:szCs w:val="22"/>
        </w:rPr>
        <w:t xml:space="preserve"> Considering that </w:t>
      </w:r>
      <w:r w:rsidRPr="00BE3660">
        <w:rPr>
          <w:rFonts w:ascii="Calibri" w:hAnsi="Calibri" w:cs="Calibri"/>
          <w:b/>
          <w:i/>
          <w:szCs w:val="22"/>
        </w:rPr>
        <w:t>the occurrence of SL LBT failure could be different even between RB sets belonging to the same SL resource pool</w:t>
      </w:r>
      <w:r>
        <w:rPr>
          <w:rFonts w:ascii="Calibri" w:hAnsi="Calibri" w:cs="Calibri"/>
          <w:b/>
          <w:i/>
          <w:szCs w:val="22"/>
        </w:rPr>
        <w:t xml:space="preserve"> and </w:t>
      </w:r>
      <w:r w:rsidRPr="006E6208">
        <w:rPr>
          <w:rFonts w:ascii="Calibri" w:hAnsi="Calibri" w:cs="Calibri"/>
          <w:b/>
          <w:i/>
          <w:szCs w:val="22"/>
        </w:rPr>
        <w:t>there are S-SSB slot(s) in which S-SSB transmission(s) are performed outside the SL resource pool</w:t>
      </w:r>
      <w:r>
        <w:rPr>
          <w:rFonts w:ascii="Calibri" w:hAnsi="Calibri" w:cs="Calibri"/>
          <w:b/>
          <w:i/>
          <w:szCs w:val="22"/>
        </w:rPr>
        <w:t xml:space="preserve">, it is not preferred that </w:t>
      </w:r>
      <w:r w:rsidRPr="00BE3660">
        <w:rPr>
          <w:rFonts w:ascii="Calibri" w:hAnsi="Calibri" w:cs="Calibri"/>
          <w:b/>
          <w:i/>
          <w:szCs w:val="22"/>
        </w:rPr>
        <w:t>the granularity of SL LBT failure indication</w:t>
      </w:r>
      <w:r>
        <w:rPr>
          <w:rFonts w:ascii="Calibri" w:hAnsi="Calibri" w:cs="Calibri"/>
          <w:b/>
          <w:i/>
          <w:szCs w:val="22"/>
        </w:rPr>
        <w:t xml:space="preserve"> </w:t>
      </w:r>
      <w:r>
        <w:rPr>
          <w:rFonts w:ascii="Calibri" w:hAnsi="Calibri" w:cs="Calibri"/>
          <w:b/>
          <w:i/>
          <w:szCs w:val="22"/>
        </w:rPr>
        <w:lastRenderedPageBreak/>
        <w:t xml:space="preserve">is defined </w:t>
      </w:r>
      <w:r w:rsidRPr="00BE3660">
        <w:rPr>
          <w:rFonts w:ascii="Calibri" w:hAnsi="Calibri" w:cs="Calibri"/>
          <w:b/>
          <w:i/>
          <w:szCs w:val="22"/>
        </w:rPr>
        <w:t xml:space="preserve">in a unit of </w:t>
      </w:r>
      <w:r>
        <w:rPr>
          <w:rFonts w:ascii="Calibri" w:hAnsi="Calibri" w:cs="Calibri"/>
          <w:b/>
          <w:i/>
          <w:szCs w:val="22"/>
        </w:rPr>
        <w:t xml:space="preserve">SL resource pool. </w:t>
      </w:r>
    </w:p>
    <w:p w:rsidR="00A20AE5" w:rsidRDefault="00A20AE5" w:rsidP="00A20AE5">
      <w:pPr>
        <w:pStyle w:val="LGTdoc0"/>
        <w:spacing w:afterLines="0" w:after="0" w:line="240" w:lineRule="auto"/>
        <w:rPr>
          <w:rFonts w:ascii="Calibri" w:hAnsi="Calibri" w:cs="Calibri"/>
          <w:szCs w:val="22"/>
          <w:lang w:val="en-US"/>
        </w:rPr>
      </w:pPr>
    </w:p>
    <w:p w:rsidR="00A20AE5" w:rsidRDefault="00A20AE5" w:rsidP="00A20AE5">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A20AE5" w:rsidRPr="00491113" w:rsidRDefault="00A20AE5" w:rsidP="00A20AE5">
      <w:pPr>
        <w:pStyle w:val="LGTdoc0"/>
        <w:numPr>
          <w:ilvl w:val="0"/>
          <w:numId w:val="38"/>
        </w:numPr>
        <w:spacing w:afterLines="0" w:after="0" w:line="240" w:lineRule="auto"/>
        <w:rPr>
          <w:rFonts w:ascii="Calibri" w:hAnsi="Calibri" w:cs="Calibri"/>
          <w:szCs w:val="22"/>
        </w:rPr>
      </w:pPr>
      <w:r w:rsidRPr="00491113">
        <w:rPr>
          <w:rFonts w:ascii="Calibri" w:hAnsi="Calibri" w:cs="Calibri" w:hint="eastAsia"/>
          <w:b/>
          <w:i/>
          <w:szCs w:val="22"/>
        </w:rPr>
        <w:t xml:space="preserve">The </w:t>
      </w:r>
      <w:r w:rsidRPr="00491113">
        <w:rPr>
          <w:rFonts w:ascii="Calibri" w:hAnsi="Calibri" w:cs="Calibri"/>
          <w:b/>
          <w:i/>
          <w:szCs w:val="22"/>
        </w:rPr>
        <w:t xml:space="preserve">granularity of </w:t>
      </w:r>
      <w:r w:rsidRPr="00491113">
        <w:rPr>
          <w:rFonts w:ascii="Calibri" w:hAnsi="Calibri" w:cs="Calibri" w:hint="eastAsia"/>
          <w:b/>
          <w:i/>
          <w:szCs w:val="22"/>
        </w:rPr>
        <w:t xml:space="preserve">SL </w:t>
      </w:r>
      <w:r w:rsidRPr="00491113">
        <w:rPr>
          <w:rFonts w:ascii="Calibri" w:hAnsi="Calibri" w:cs="Calibri"/>
          <w:b/>
          <w:i/>
          <w:szCs w:val="22"/>
        </w:rPr>
        <w:t>LBT failure indication notified from PHY to MAC is per RB set</w:t>
      </w:r>
    </w:p>
    <w:p w:rsidR="007000D9" w:rsidRPr="00A20AE5"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Pr="00AB257C"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Pr="00DE0371">
        <w:rPr>
          <w:rFonts w:ascii="Calibri" w:hAnsi="Calibri" w:cs="Calibri"/>
          <w:szCs w:val="22"/>
        </w:rPr>
        <w:t>R1-2210805</w:t>
      </w:r>
      <w:r w:rsidRPr="003D1CDE">
        <w:rPr>
          <w:rFonts w:ascii="Calibri" w:hAnsi="Calibri" w:cs="Calibri"/>
          <w:szCs w:val="22"/>
        </w:rPr>
        <w:t>, “</w:t>
      </w:r>
      <w:r w:rsidRPr="00DE0371">
        <w:rPr>
          <w:rFonts w:ascii="Calibri" w:hAnsi="Calibri" w:cs="Calibri"/>
          <w:szCs w:val="22"/>
        </w:rPr>
        <w:t>LS on SL LBT failure indication and consistent SL LBT failure</w:t>
      </w:r>
      <w:r w:rsidRPr="003D1CDE">
        <w:rPr>
          <w:rFonts w:ascii="Calibri" w:hAnsi="Calibri" w:cs="Calibri"/>
          <w:szCs w:val="22"/>
        </w:rPr>
        <w:t xml:space="preserve">,” </w:t>
      </w:r>
      <w:r w:rsidRPr="00DE0371">
        <w:rPr>
          <w:rFonts w:ascii="Calibri" w:hAnsi="Calibri" w:cs="Calibri"/>
          <w:szCs w:val="22"/>
        </w:rPr>
        <w:t>RAN2, vivo</w:t>
      </w:r>
      <w:r w:rsidRPr="003D1CDE">
        <w:rPr>
          <w:rFonts w:ascii="Calibri" w:hAnsi="Calibri" w:cs="Calibri"/>
          <w:szCs w:val="22"/>
        </w:rPr>
        <w:t>.</w:t>
      </w:r>
    </w:p>
    <w:sectPr w:rsidR="00623461" w:rsidRPr="00AB257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766" w:rsidRDefault="007C2766">
      <w:r>
        <w:separator/>
      </w:r>
    </w:p>
  </w:endnote>
  <w:endnote w:type="continuationSeparator" w:id="0">
    <w:p w:rsidR="007C2766" w:rsidRDefault="007C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E360D">
      <w:rPr>
        <w:rStyle w:val="a8"/>
        <w:noProof/>
      </w:rPr>
      <w:t>2</w:t>
    </w:r>
    <w:r>
      <w:rPr>
        <w:rStyle w:val="a8"/>
      </w:rPr>
      <w:fldChar w:fldCharType="end"/>
    </w:r>
  </w:p>
  <w:p w:rsidR="00D47AB1" w:rsidRDefault="00D47AB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766" w:rsidRDefault="007C2766">
      <w:r>
        <w:separator/>
      </w:r>
    </w:p>
  </w:footnote>
  <w:footnote w:type="continuationSeparator" w:id="0">
    <w:p w:rsidR="007C2766" w:rsidRDefault="007C27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5"/>
  </w:num>
  <w:num w:numId="4">
    <w:abstractNumId w:val="36"/>
  </w:num>
  <w:num w:numId="5">
    <w:abstractNumId w:val="19"/>
  </w:num>
  <w:num w:numId="6">
    <w:abstractNumId w:val="27"/>
  </w:num>
  <w:num w:numId="7">
    <w:abstractNumId w:val="17"/>
  </w:num>
  <w:num w:numId="8">
    <w:abstractNumId w:val="20"/>
  </w:num>
  <w:num w:numId="9">
    <w:abstractNumId w:val="34"/>
  </w:num>
  <w:num w:numId="10">
    <w:abstractNumId w:val="2"/>
  </w:num>
  <w:num w:numId="11">
    <w:abstractNumId w:val="7"/>
  </w:num>
  <w:num w:numId="12">
    <w:abstractNumId w:val="29"/>
  </w:num>
  <w:num w:numId="13">
    <w:abstractNumId w:val="37"/>
  </w:num>
  <w:num w:numId="14">
    <w:abstractNumId w:val="24"/>
  </w:num>
  <w:num w:numId="15">
    <w:abstractNumId w:val="32"/>
  </w:num>
  <w:num w:numId="16">
    <w:abstractNumId w:val="11"/>
  </w:num>
  <w:num w:numId="17">
    <w:abstractNumId w:val="21"/>
  </w:num>
  <w:num w:numId="18">
    <w:abstractNumId w:val="4"/>
  </w:num>
  <w:num w:numId="19">
    <w:abstractNumId w:val="15"/>
  </w:num>
  <w:num w:numId="20">
    <w:abstractNumId w:val="22"/>
  </w:num>
  <w:num w:numId="21">
    <w:abstractNumId w:val="9"/>
  </w:num>
  <w:num w:numId="22">
    <w:abstractNumId w:val="8"/>
  </w:num>
  <w:num w:numId="23">
    <w:abstractNumId w:val="13"/>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8"/>
  </w:num>
  <w:num w:numId="28">
    <w:abstractNumId w:val="1"/>
  </w:num>
  <w:num w:numId="29">
    <w:abstractNumId w:val="16"/>
  </w:num>
  <w:num w:numId="30">
    <w:abstractNumId w:val="23"/>
  </w:num>
  <w:num w:numId="31">
    <w:abstractNumId w:val="23"/>
  </w:num>
  <w:num w:numId="32">
    <w:abstractNumId w:val="3"/>
  </w:num>
  <w:num w:numId="33">
    <w:abstractNumId w:val="33"/>
  </w:num>
  <w:num w:numId="34">
    <w:abstractNumId w:val="14"/>
  </w:num>
  <w:num w:numId="35">
    <w:abstractNumId w:val="31"/>
  </w:num>
  <w:num w:numId="36">
    <w:abstractNumId w:val="25"/>
  </w:num>
  <w:num w:numId="37">
    <w:abstractNumId w:val="10"/>
  </w:num>
  <w:num w:numId="38">
    <w:abstractNumId w:val="1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A3BD0-2454-4E44-9519-975B1F91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2</Pages>
  <Words>467</Words>
  <Characters>2666</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3127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106</cp:revision>
  <cp:lastPrinted>2018-10-31T08:18:00Z</cp:lastPrinted>
  <dcterms:created xsi:type="dcterms:W3CDTF">2022-04-25T05:58:00Z</dcterms:created>
  <dcterms:modified xsi:type="dcterms:W3CDTF">2023-02-17T05:01:00Z</dcterms:modified>
</cp:coreProperties>
</file>